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A" w:rsidRDefault="00113C0A" w:rsidP="00113C0A">
      <w:pPr>
        <w:ind w:left="1440" w:firstLine="720"/>
      </w:pPr>
      <w:r>
        <w:rPr>
          <w:noProof/>
          <w:lang w:eastAsia="el-GR"/>
        </w:rPr>
        <w:drawing>
          <wp:inline distT="0" distB="0" distL="0" distR="0">
            <wp:extent cx="405765" cy="40576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 w:rsidR="00D26BFD" w:rsidRPr="00C849C4" w:rsidTr="00E57F8A">
        <w:trPr>
          <w:cantSplit/>
        </w:trPr>
        <w:tc>
          <w:tcPr>
            <w:tcW w:w="4819" w:type="dxa"/>
            <w:shd w:val="clear" w:color="auto" w:fill="auto"/>
          </w:tcPr>
          <w:p w:rsidR="00D26BFD" w:rsidRPr="002E7874" w:rsidRDefault="00D26BFD" w:rsidP="002C5F1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874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</w:p>
          <w:p w:rsidR="00D26BFD" w:rsidRPr="002E7874" w:rsidRDefault="00D26BFD" w:rsidP="002C5F1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874">
              <w:rPr>
                <w:rFonts w:asciiTheme="minorHAnsi" w:hAnsiTheme="minorHAnsi" w:cstheme="minorHAnsi"/>
                <w:sz w:val="20"/>
                <w:szCs w:val="20"/>
              </w:rPr>
              <w:t xml:space="preserve">ΥΠΟΥΡΓΕΙΟ ΠΑΙΔΕΙΑΣ, ΕΡΕΥΝΑΣ </w:t>
            </w:r>
          </w:p>
          <w:p w:rsidR="00D26BFD" w:rsidRPr="002E7874" w:rsidRDefault="00D26BFD" w:rsidP="002C5F1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874">
              <w:rPr>
                <w:rFonts w:asciiTheme="minorHAnsi" w:hAnsiTheme="minorHAnsi" w:cstheme="minorHAnsi"/>
                <w:sz w:val="20"/>
                <w:szCs w:val="20"/>
              </w:rPr>
              <w:t>ΚΑΙ ΘΡΗΣΚΕΥΜΑΤΩΝ</w:t>
            </w:r>
          </w:p>
        </w:tc>
        <w:tc>
          <w:tcPr>
            <w:tcW w:w="4818" w:type="dxa"/>
            <w:shd w:val="clear" w:color="auto" w:fill="auto"/>
          </w:tcPr>
          <w:p w:rsidR="00D26BFD" w:rsidRPr="00C849C4" w:rsidRDefault="00D26BFD" w:rsidP="002C5F1E">
            <w:pPr>
              <w:pStyle w:val="a3"/>
              <w:snapToGrid w:val="0"/>
              <w:jc w:val="center"/>
            </w:pPr>
          </w:p>
        </w:tc>
      </w:tr>
      <w:tr w:rsidR="00D26BFD" w:rsidRPr="00D26BFD" w:rsidTr="00E5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/>
        </w:trPr>
        <w:tc>
          <w:tcPr>
            <w:tcW w:w="4819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828"/>
            </w:tblGrid>
            <w:tr w:rsidR="00D26BFD" w:rsidRPr="002E7874" w:rsidTr="002C5F1E">
              <w:trPr>
                <w:cantSplit/>
                <w:trHeight w:val="470"/>
              </w:trPr>
              <w:tc>
                <w:tcPr>
                  <w:tcW w:w="4828" w:type="dxa"/>
                  <w:shd w:val="clear" w:color="auto" w:fill="auto"/>
                </w:tcPr>
                <w:p w:rsidR="00D26BFD" w:rsidRPr="002E7874" w:rsidRDefault="00D26BFD" w:rsidP="002C5F1E">
                  <w:pPr>
                    <w:pStyle w:val="a3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787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ΠΕΡΙΦΕΡΕΙΑΚΗ ΔΙΕΥΘΥΝΣΗ ΠΡΩΤΟΒΑΘΜΙΑΣ ΚΑΙ ΔΕΥΤΕΡΟΒΑΘΜΙΑΣ ΕΚΠΑΙΔΕΥΣΗΣ </w:t>
                  </w:r>
                </w:p>
                <w:p w:rsidR="00D26BFD" w:rsidRPr="002E7874" w:rsidRDefault="00D26BFD" w:rsidP="002C5F1E">
                  <w:pPr>
                    <w:pStyle w:val="a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78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ΗΠΕΙΡΟΥ</w:t>
                  </w:r>
                </w:p>
                <w:p w:rsidR="00D26BFD" w:rsidRPr="002E7874" w:rsidRDefault="00D26BFD" w:rsidP="002C5F1E">
                  <w:pPr>
                    <w:pStyle w:val="a3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26BFD" w:rsidRPr="002E7874" w:rsidTr="002C5F1E">
              <w:trPr>
                <w:cantSplit/>
                <w:trHeight w:val="470"/>
              </w:trPr>
              <w:tc>
                <w:tcPr>
                  <w:tcW w:w="4828" w:type="dxa"/>
                  <w:shd w:val="clear" w:color="auto" w:fill="auto"/>
                </w:tcPr>
                <w:p w:rsidR="00D26BFD" w:rsidRPr="002E7874" w:rsidRDefault="00D26BFD" w:rsidP="00702983">
                  <w:pPr>
                    <w:snapToGrid w:val="0"/>
                    <w:ind w:left="-55" w:right="3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E7874">
                    <w:rPr>
                      <w:rFonts w:cstheme="minorHAnsi"/>
                      <w:sz w:val="20"/>
                      <w:szCs w:val="20"/>
                    </w:rPr>
                    <w:t xml:space="preserve">ΑΥΤΟΤΕΛΗΣ ΔΙΕΥΘΥΝΣΗ ΔΙΟΙΚΗΤΙΚΗΣ, ΟΙΚΟΝΟΜΙΚΗΣ ΚΑΙ ΠΑΙΔΑΓΩΓΙΚΗΣ ΥΠΟΣΤΗΡΙΞΗΣ </w:t>
                  </w:r>
                </w:p>
              </w:tc>
            </w:tr>
          </w:tbl>
          <w:p w:rsidR="00D26BFD" w:rsidRPr="002E7874" w:rsidRDefault="00D26BFD" w:rsidP="002C5F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817"/>
            </w:tblGrid>
            <w:tr w:rsidR="00D26BFD" w:rsidRPr="00C849C4" w:rsidTr="002C5F1E">
              <w:trPr>
                <w:cantSplit/>
                <w:trHeight w:val="537"/>
              </w:trPr>
              <w:tc>
                <w:tcPr>
                  <w:tcW w:w="4817" w:type="dxa"/>
                  <w:shd w:val="clear" w:color="auto" w:fill="auto"/>
                </w:tcPr>
                <w:p w:rsidR="00D26BFD" w:rsidRPr="00C849C4" w:rsidRDefault="00A9452D" w:rsidP="002C5F1E">
                  <w:pPr>
                    <w:snapToGrid w:val="0"/>
                    <w:ind w:left="845" w:right="65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452D">
                    <w:rPr>
                      <w:rFonts w:cstheme="minorHAnsi"/>
                      <w:color w:val="000000"/>
                      <w:sz w:val="20"/>
                      <w:szCs w:val="20"/>
                    </w:rPr>
                    <w:t>ΔΙΕΚΠΕΡΑΙΩΣΗ ΜΟΝΟ ΜΕ ΗΛ. ΤΑΧ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D26BFD" w:rsidRPr="00C849C4" w:rsidTr="002C5F1E">
              <w:trPr>
                <w:cantSplit/>
                <w:trHeight w:val="470"/>
              </w:trPr>
              <w:tc>
                <w:tcPr>
                  <w:tcW w:w="4817" w:type="dxa"/>
                  <w:shd w:val="clear" w:color="auto" w:fill="auto"/>
                </w:tcPr>
                <w:p w:rsidR="00D26BFD" w:rsidRPr="00C849C4" w:rsidRDefault="00D26BFD" w:rsidP="003F0B38">
                  <w:pPr>
                    <w:snapToGrid w:val="0"/>
                    <w:ind w:left="845" w:right="65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D26BFD" w:rsidRPr="00D26BFD" w:rsidRDefault="00D26BFD" w:rsidP="002C5F1E">
            <w:pPr>
              <w:snapToGrid w:val="0"/>
              <w:ind w:right="65"/>
              <w:jc w:val="center"/>
            </w:pPr>
          </w:p>
        </w:tc>
      </w:tr>
      <w:tr w:rsidR="00D26BFD" w:rsidRPr="00C849C4" w:rsidTr="00E57F8A">
        <w:trPr>
          <w:cantSplit/>
        </w:trPr>
        <w:tc>
          <w:tcPr>
            <w:tcW w:w="4819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828"/>
            </w:tblGrid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D26BFD" w:rsidRPr="00F412C5" w:rsidRDefault="00D26BFD" w:rsidP="002C5F1E">
                  <w:pPr>
                    <w:pStyle w:val="a3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Ταχ</w:t>
                  </w:r>
                  <w:proofErr w:type="spellEnd"/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Δ/</w:t>
                  </w:r>
                  <w:proofErr w:type="spellStart"/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νση</w:t>
                  </w:r>
                  <w:proofErr w:type="spellEnd"/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     Ανεξαρτησίας 146</w:t>
                  </w:r>
                </w:p>
              </w:tc>
            </w:tr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D26BFD" w:rsidRPr="00F412C5" w:rsidRDefault="00D26BFD" w:rsidP="002C5F1E">
                  <w:pPr>
                    <w:pStyle w:val="a3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Τ.Κ. - Πόλη:   45444 - Ιωάννινα</w:t>
                  </w:r>
                </w:p>
              </w:tc>
            </w:tr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D26BFD" w:rsidRPr="00F412C5" w:rsidRDefault="00D26BFD" w:rsidP="002C5F1E">
                  <w:pPr>
                    <w:pStyle w:val="a3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Ιστοσελίδα:      http://srv-ipeir.pde.sch.gr</w:t>
                  </w:r>
                </w:p>
              </w:tc>
            </w:tr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D26BFD" w:rsidRPr="00F412C5" w:rsidRDefault="00D26BFD" w:rsidP="002C5F1E">
                  <w:pPr>
                    <w:pStyle w:val="a3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Πληροφορίες: Παπαγεωργίου Γεωργία</w:t>
                  </w:r>
                </w:p>
              </w:tc>
            </w:tr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D26BFD" w:rsidRPr="00F412C5" w:rsidRDefault="00D26BFD" w:rsidP="002C5F1E">
                  <w:pPr>
                    <w:pStyle w:val="a3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12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Τηλέφωνο:      2651083979</w:t>
                  </w:r>
                </w:p>
              </w:tc>
            </w:tr>
            <w:tr w:rsidR="00D26BFD" w:rsidRPr="00C849C4" w:rsidTr="002C5F1E">
              <w:trPr>
                <w:cantSplit/>
              </w:trPr>
              <w:tc>
                <w:tcPr>
                  <w:tcW w:w="4828" w:type="dxa"/>
                  <w:shd w:val="clear" w:color="auto" w:fill="auto"/>
                </w:tcPr>
                <w:p w:rsidR="008E009A" w:rsidRPr="008E009A" w:rsidRDefault="00D26BFD" w:rsidP="002C5F1E">
                  <w:pPr>
                    <w:snapToGrid w:val="0"/>
                    <w:spacing w:line="100" w:lineRule="atLeast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412C5">
                    <w:rPr>
                      <w:rFonts w:cstheme="minorHAnsi"/>
                      <w:sz w:val="20"/>
                      <w:szCs w:val="20"/>
                      <w:lang w:val="en-US"/>
                    </w:rPr>
                    <w:t>FAX:              2651075605</w:t>
                  </w:r>
                </w:p>
                <w:p w:rsidR="00D26BFD" w:rsidRPr="00F412C5" w:rsidRDefault="00D26BFD" w:rsidP="002C5F1E">
                  <w:pPr>
                    <w:snapToGrid w:val="0"/>
                    <w:spacing w:line="100" w:lineRule="atLeast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412C5">
                    <w:rPr>
                      <w:rFonts w:cstheme="minorHAnsi"/>
                      <w:sz w:val="20"/>
                      <w:szCs w:val="20"/>
                    </w:rPr>
                    <w:t>Ε</w:t>
                  </w:r>
                  <w:r w:rsidRPr="00F412C5">
                    <w:rPr>
                      <w:rFonts w:cstheme="minorHAnsi"/>
                      <w:sz w:val="20"/>
                      <w:szCs w:val="20"/>
                      <w:lang w:val="en-US"/>
                    </w:rPr>
                    <w:t>-mail:           mail@ipeir.pde.sch.gr</w:t>
                  </w:r>
                </w:p>
              </w:tc>
            </w:tr>
          </w:tbl>
          <w:p w:rsidR="00D26BFD" w:rsidRPr="00D26BFD" w:rsidRDefault="00D26BFD" w:rsidP="002C5F1E">
            <w:pPr>
              <w:rPr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3F0B38" w:rsidRDefault="003F0B38" w:rsidP="002C5F1E">
            <w:pPr>
              <w:tabs>
                <w:tab w:val="left" w:pos="987"/>
              </w:tabs>
              <w:ind w:left="661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3F0B38" w:rsidRPr="003F0B38" w:rsidRDefault="003F0B38" w:rsidP="003F0B38">
            <w:pPr>
              <w:rPr>
                <w:rFonts w:ascii="Times New Roman" w:hAnsi="Times New Roman" w:cs="Times New Roman"/>
                <w:lang w:val="en-US"/>
              </w:rPr>
            </w:pPr>
          </w:p>
          <w:p w:rsidR="003F0B38" w:rsidRPr="008A3642" w:rsidRDefault="003F0B38" w:rsidP="003F0B38">
            <w:pPr>
              <w:snapToGrid w:val="0"/>
              <w:ind w:right="65"/>
              <w:rPr>
                <w:rFonts w:cstheme="minorHAnsi"/>
                <w:color w:val="000000"/>
              </w:rPr>
            </w:pPr>
            <w:r w:rsidRPr="008A3642">
              <w:rPr>
                <w:rFonts w:cstheme="minorHAnsi"/>
                <w:color w:val="000000"/>
              </w:rPr>
              <w:t>Ιωάννι</w:t>
            </w:r>
            <w:r w:rsidRPr="008A3642">
              <w:rPr>
                <w:rFonts w:cstheme="minorHAnsi"/>
                <w:color w:val="000000"/>
              </w:rPr>
              <w:t>να, 10-07</w:t>
            </w:r>
            <w:r w:rsidRPr="008A3642">
              <w:rPr>
                <w:rFonts w:cstheme="minorHAnsi"/>
                <w:color w:val="000000"/>
              </w:rPr>
              <w:t>-2019</w:t>
            </w:r>
          </w:p>
          <w:p w:rsidR="00D26BFD" w:rsidRPr="003F0B38" w:rsidRDefault="003F0B38" w:rsidP="003F0B38">
            <w:pPr>
              <w:rPr>
                <w:rFonts w:ascii="Times New Roman" w:hAnsi="Times New Roman" w:cs="Times New Roman"/>
                <w:lang w:val="en-US"/>
              </w:rPr>
            </w:pPr>
            <w:r w:rsidRPr="008A3642">
              <w:rPr>
                <w:rFonts w:cstheme="minorHAnsi"/>
                <w:color w:val="000000"/>
              </w:rPr>
              <w:t xml:space="preserve">Αριθ. </w:t>
            </w:r>
            <w:proofErr w:type="spellStart"/>
            <w:r w:rsidRPr="008A3642">
              <w:rPr>
                <w:rFonts w:cstheme="minorHAnsi"/>
                <w:color w:val="000000"/>
              </w:rPr>
              <w:t>Πρωτ</w:t>
            </w:r>
            <w:proofErr w:type="spellEnd"/>
            <w:r w:rsidRPr="008A3642">
              <w:rPr>
                <w:rFonts w:cstheme="minorHAnsi"/>
                <w:color w:val="000000"/>
              </w:rPr>
              <w:t>.: Φ.11.2/6567</w:t>
            </w:r>
          </w:p>
        </w:tc>
      </w:tr>
    </w:tbl>
    <w:p w:rsidR="00CD4760" w:rsidRDefault="00D26BFD" w:rsidP="001C54AC">
      <w:pPr>
        <w:jc w:val="center"/>
      </w:pPr>
      <w:r>
        <w:t>ΘΕΜΑ: «</w:t>
      </w:r>
      <w:r w:rsidR="00FB4DD0">
        <w:t>ΣΥΝΕΧΙΣΗ</w:t>
      </w:r>
      <w:r w:rsidR="008B5ECA">
        <w:t xml:space="preserve"> ΤΗ</w:t>
      </w:r>
      <w:r w:rsidR="00FB4DD0">
        <w:t>Σ</w:t>
      </w:r>
      <w:r w:rsidR="001C54AC" w:rsidRPr="001C54AC">
        <w:t xml:space="preserve"> Δ</w:t>
      </w:r>
      <w:r w:rsidR="00C25DE8">
        <w:t>ΙΑΔΙΚΑΣΙΑ</w:t>
      </w:r>
      <w:r w:rsidR="00FB4DD0">
        <w:t>Σ</w:t>
      </w:r>
      <w:r w:rsidR="00C25DE8">
        <w:t xml:space="preserve"> ΥΠΟΒΟΛΗΣ ΑΙΤΗΣΕΩΝ ΕΚΠΑΙΔΕΥΤΙ</w:t>
      </w:r>
      <w:r w:rsidR="001C54AC" w:rsidRPr="001C54AC">
        <w:t>ΚΩΝ</w:t>
      </w:r>
      <w:r w:rsidR="001C54AC">
        <w:t xml:space="preserve"> ΚΑΙ ΔΙΟΙΚΗΤΙΚΩΝ ΥΠΑΛΛΗΛΩΝ </w:t>
      </w:r>
      <w:r w:rsidR="001C54AC" w:rsidRPr="001C54AC">
        <w:t xml:space="preserve">ΣΤΟ ΠΛΑΙΣΙΟ ΠΡΟΣΚΛΗΣΕΩΝ </w:t>
      </w:r>
      <w:r w:rsidR="007B1B5E">
        <w:t xml:space="preserve">ΕΝΔΙΑΦΕΡΟΝΤΟΣ </w:t>
      </w:r>
      <w:r w:rsidR="001C54AC" w:rsidRPr="001C54AC">
        <w:t>ΓΙΑ ΑΠΟΣΠΑΣΗ</w:t>
      </w:r>
      <w:r w:rsidR="007B1B5E">
        <w:t>, ΜΕΤΑΚΙΝΗΣΗ Ή ΤΟΠΟΘΕΤΗΣΗ</w:t>
      </w:r>
      <w:r w:rsidR="001C54AC">
        <w:t xml:space="preserve"> ΣΤΟ </w:t>
      </w:r>
      <w:r w:rsidR="007B1B5E">
        <w:t>ΓΡΑΦΕΙΟ ΝΟΜΙΚΗΣ ΥΠΟΣΤΗΡΙΞΗΣ</w:t>
      </w:r>
      <w:r w:rsidR="001C54AC">
        <w:t xml:space="preserve"> ΤΗΣ Π</w:t>
      </w:r>
      <w:r w:rsidR="007B1B5E">
        <w:t>.</w:t>
      </w:r>
      <w:r w:rsidR="001C54AC">
        <w:t>Δ</w:t>
      </w:r>
      <w:r w:rsidR="007B1B5E">
        <w:t>.</w:t>
      </w:r>
      <w:r w:rsidR="001C54AC">
        <w:t>Ε</w:t>
      </w:r>
      <w:r w:rsidR="007B1B5E">
        <w:t>.</w:t>
      </w:r>
      <w:r w:rsidR="001C54AC">
        <w:t xml:space="preserve"> ΗΠΕΙΡΟΥ</w:t>
      </w:r>
      <w:r w:rsidR="001C54AC" w:rsidRPr="001C54AC">
        <w:t>.</w:t>
      </w:r>
      <w:r>
        <w:t>»</w:t>
      </w:r>
    </w:p>
    <w:p w:rsidR="00EC1B6D" w:rsidRDefault="00EC1B6D" w:rsidP="00EC1B6D">
      <w:r>
        <w:t>Μετά το μήνυμα του ηλεκτρονικού ταχυδρομείου στις 14/06/2019 που μας απέστειλε η Γενική Διεύθυνση Προσωπικού Πρωτοβάθμιας &amp; Δευτεροβάθμιας Εκπαίδευσης του ΥΠΠΕΘ</w:t>
      </w:r>
      <w:r w:rsidR="00C5666A">
        <w:t>, το οποίο αναφέρει:</w:t>
      </w:r>
    </w:p>
    <w:p w:rsidR="00EC1B6D" w:rsidRDefault="00EC1B6D" w:rsidP="00EC1B6D">
      <w:r>
        <w:t>«Με την έκδοση του ΠΔ56/11-6-2019 «Διάλυση της Βουλής, προκήρυξη εκλογής Βουλευτών και σύγκληση της νέας Βουλής.», τίθενται σε εφαρμογή οι διατάξεις του αρ. 28 του ν.2190/94 περί απαγόρευσης έκδοσης των πράξεων που αφορούν σε υπηρεσιακές μεταβολές από την προκήρυξη των εκλογών έως την ορκωμοσία της Κυβέρνησης που προκύπτει κατά το άρθρο 37 του Συντάγματος.  Η απαγόρευση έκδοσης οποιασδήποτε πράξης μεταβολής που αναφέρεται στην υπηρεσιακή κατάσταση του πάσης φύσεως προσωπικού, όπως προκύπτει σαφώς από τις διατάξεις της παρ. 1 σε συνδυασμό με την παρ. 2 του ίδιου άρθρου και νόμου, αφορά όχι μόνο τις τελικές πράξεις αλλά και όλες τις προπαρασκευαστικές αυτών πράξεις.  Επιπλέον, σύμφωνα με την παρ. 2 του άρθρου 28 του ν. 2190/1994, οι διαδικασίες που είχαν ήδη κινηθεί, κατά την προκήρυξη των εκλογών διακόπτονται, δηλαδή αναστέλλονται προσωρινά και συνεχίζονται αμέσως μετά τη λήξη της αναστολής.</w:t>
      </w:r>
      <w:r w:rsidRPr="00EC1B6D">
        <w:t xml:space="preserve"> </w:t>
      </w:r>
      <w:r>
        <w:t xml:space="preserve">Με βάση τα ανωτέρω, η υποβολή αιτήσεων για απόσπαση </w:t>
      </w:r>
      <w:proofErr w:type="spellStart"/>
      <w:r>
        <w:t>εκπ</w:t>
      </w:r>
      <w:proofErr w:type="spellEnd"/>
      <w:r>
        <w:t>/</w:t>
      </w:r>
      <w:proofErr w:type="spellStart"/>
      <w:r>
        <w:t>κών</w:t>
      </w:r>
      <w:proofErr w:type="spellEnd"/>
      <w:r>
        <w:t>, στο πλαίσιο «ανοικτών» προσκλήσεων διακόπτεται από τις 11 Ιουνίου 2019 και θα συνεχιστεί αμέσως μετά την ορκωμοσία της νέας Κυβέρνησης.»</w:t>
      </w:r>
      <w:r w:rsidR="000B7AB7">
        <w:t>,</w:t>
      </w:r>
    </w:p>
    <w:p w:rsidR="00C25DE8" w:rsidRDefault="000B7AB7" w:rsidP="00E012F8">
      <w:pPr>
        <w:jc w:val="both"/>
        <w:rPr>
          <w:rFonts w:cstheme="minorHAnsi"/>
        </w:rPr>
      </w:pPr>
      <w:r w:rsidRPr="00C25DE8">
        <w:rPr>
          <w:rFonts w:cstheme="minorHAnsi"/>
          <w:b/>
        </w:rPr>
        <w:t>σ</w:t>
      </w:r>
      <w:r w:rsidR="00EC1B6D" w:rsidRPr="00C25DE8">
        <w:rPr>
          <w:rFonts w:cstheme="minorHAnsi"/>
          <w:b/>
        </w:rPr>
        <w:t>ας ενημερώνουμε</w:t>
      </w:r>
      <w:r w:rsidR="006549AB">
        <w:rPr>
          <w:rFonts w:cstheme="minorHAnsi"/>
        </w:rPr>
        <w:t xml:space="preserve"> ότι</w:t>
      </w:r>
      <w:r w:rsidR="008B5ECA">
        <w:rPr>
          <w:rFonts w:cstheme="minorHAnsi"/>
        </w:rPr>
        <w:t xml:space="preserve">, </w:t>
      </w:r>
      <w:r w:rsidR="008B5ECA" w:rsidRPr="00E012F8">
        <w:rPr>
          <w:rFonts w:cstheme="minorHAnsi"/>
        </w:rPr>
        <w:t xml:space="preserve">μετά την ορκωμοσία της νέας Κυβέρνησης </w:t>
      </w:r>
      <w:r w:rsidR="008B5ECA">
        <w:rPr>
          <w:rFonts w:cstheme="minorHAnsi"/>
        </w:rPr>
        <w:t>(09-07-2019),</w:t>
      </w:r>
      <w:r w:rsidR="006549AB">
        <w:rPr>
          <w:rFonts w:cstheme="minorHAnsi"/>
        </w:rPr>
        <w:t xml:space="preserve"> η</w:t>
      </w:r>
      <w:r w:rsidR="00EC1B6D" w:rsidRPr="00E012F8">
        <w:rPr>
          <w:rFonts w:cstheme="minorHAnsi"/>
        </w:rPr>
        <w:t xml:space="preserve"> </w:t>
      </w:r>
      <w:r w:rsidR="00EC1B6D" w:rsidRPr="006549AB">
        <w:rPr>
          <w:rFonts w:cstheme="minorHAnsi"/>
        </w:rPr>
        <w:t>διαδικασία</w:t>
      </w:r>
      <w:r w:rsidR="00EC1B6D" w:rsidRPr="006549AB">
        <w:rPr>
          <w:rFonts w:cstheme="minorHAnsi"/>
          <w:bCs/>
        </w:rPr>
        <w:t xml:space="preserve"> </w:t>
      </w:r>
      <w:r w:rsidR="006549AB" w:rsidRPr="006549AB">
        <w:rPr>
          <w:rFonts w:cstheme="minorHAnsi"/>
          <w:bCs/>
        </w:rPr>
        <w:t xml:space="preserve">υποβολής αιτήσεων εκπαιδευτικών και διοικητικών υπαλλήλων για απόσπαση, </w:t>
      </w:r>
      <w:r w:rsidR="006549AB" w:rsidRPr="006549AB">
        <w:rPr>
          <w:rFonts w:cstheme="minorHAnsi"/>
          <w:bCs/>
        </w:rPr>
        <w:lastRenderedPageBreak/>
        <w:t>μετακίνηση ή τοποθέτηση σ</w:t>
      </w:r>
      <w:r w:rsidR="006549AB">
        <w:rPr>
          <w:rFonts w:cstheme="minorHAnsi"/>
          <w:bCs/>
        </w:rPr>
        <w:t xml:space="preserve">το Γραφείο Νομικής Υποστήριξης της ΠΔΕ Ηπείρου </w:t>
      </w:r>
      <w:r w:rsidR="00EC1B6D" w:rsidRPr="006549AB">
        <w:rPr>
          <w:rFonts w:cstheme="minorHAnsi"/>
        </w:rPr>
        <w:t>θα</w:t>
      </w:r>
      <w:r w:rsidR="00EC1B6D" w:rsidRPr="00E012F8">
        <w:rPr>
          <w:rFonts w:cstheme="minorHAnsi"/>
        </w:rPr>
        <w:t xml:space="preserve"> συνεχιστεί </w:t>
      </w:r>
      <w:r w:rsidR="00C25DE8">
        <w:rPr>
          <w:rFonts w:cstheme="minorHAnsi"/>
        </w:rPr>
        <w:t xml:space="preserve">για </w:t>
      </w:r>
      <w:r w:rsidR="00EC1B6D" w:rsidRPr="00E012F8">
        <w:rPr>
          <w:rFonts w:cstheme="minorHAnsi"/>
        </w:rPr>
        <w:t>οχτώ (08) ημέρες</w:t>
      </w:r>
      <w:r w:rsidR="00C25DE8">
        <w:rPr>
          <w:rFonts w:cstheme="minorHAnsi"/>
        </w:rPr>
        <w:t xml:space="preserve">, ήτοι από </w:t>
      </w:r>
      <w:r w:rsidR="00C25DE8" w:rsidRPr="002266F4">
        <w:rPr>
          <w:rFonts w:cstheme="minorHAnsi"/>
          <w:b/>
        </w:rPr>
        <w:t>10-07-2019 έως και 17-07-2019</w:t>
      </w:r>
      <w:r w:rsidR="00C25DE8">
        <w:rPr>
          <w:rFonts w:cstheme="minorHAnsi"/>
        </w:rPr>
        <w:t>.</w:t>
      </w:r>
    </w:p>
    <w:p w:rsidR="00E012F8" w:rsidRPr="002266F4" w:rsidRDefault="00C25DE8" w:rsidP="00C25DE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Κατόπιν των ανωτέρω, οι Διευθύνσεις Εκπαίδευσης καθώς και οι υπαγόμενες στην ΠΔΕ Ηπείρου υπηρεσίες, οφείλουν να δι</w:t>
      </w:r>
      <w:r w:rsidR="00B95533">
        <w:rPr>
          <w:rFonts w:cstheme="minorHAnsi"/>
        </w:rPr>
        <w:t>αβιβάσουν τις τυχόν υποβληθείσες σε αυτές αιτήσεις</w:t>
      </w:r>
      <w:r w:rsidR="006549AB">
        <w:rPr>
          <w:rFonts w:cstheme="minorHAnsi"/>
        </w:rPr>
        <w:t xml:space="preserve"> σ</w:t>
      </w:r>
      <w:r>
        <w:rPr>
          <w:rFonts w:cstheme="minorHAnsi"/>
        </w:rPr>
        <w:t xml:space="preserve">την Περιφερειακή Διεύθυνση Εκπαίδευσης Ηπείρου, με ημερομηνία παράδοσης το αργότερο </w:t>
      </w:r>
      <w:r w:rsidRPr="002266F4">
        <w:rPr>
          <w:rFonts w:cstheme="minorHAnsi"/>
          <w:b/>
        </w:rPr>
        <w:t>έως τις 23-07-2019</w:t>
      </w:r>
      <w:r w:rsidR="00EC1B6D" w:rsidRPr="00E012F8">
        <w:rPr>
          <w:rFonts w:cstheme="minorHAnsi"/>
        </w:rPr>
        <w:t>, τόσο για την με</w:t>
      </w:r>
      <w:r w:rsidR="00E012F8" w:rsidRPr="00E012F8">
        <w:rPr>
          <w:rFonts w:cstheme="minorHAnsi"/>
        </w:rPr>
        <w:t xml:space="preserve"> αριθ. </w:t>
      </w:r>
      <w:proofErr w:type="spellStart"/>
      <w:r w:rsidR="00E012F8" w:rsidRPr="00E012F8">
        <w:rPr>
          <w:rFonts w:cstheme="minorHAnsi"/>
        </w:rPr>
        <w:t>πρωτ</w:t>
      </w:r>
      <w:proofErr w:type="spellEnd"/>
      <w:r w:rsidR="00E012F8" w:rsidRPr="00E012F8">
        <w:rPr>
          <w:rFonts w:cstheme="minorHAnsi"/>
        </w:rPr>
        <w:t>.</w:t>
      </w:r>
      <w:r w:rsidR="00E012F8" w:rsidRPr="00E012F8">
        <w:rPr>
          <w:rFonts w:cstheme="minorHAnsi"/>
          <w:b/>
          <w:color w:val="000000"/>
        </w:rPr>
        <w:t xml:space="preserve"> </w:t>
      </w:r>
      <w:r w:rsidR="00E012F8" w:rsidRPr="008611F6">
        <w:rPr>
          <w:rFonts w:eastAsia="Calibri" w:cstheme="minorHAnsi"/>
          <w:color w:val="000000"/>
          <w:u w:val="single"/>
        </w:rPr>
        <w:t>Φ.11.2/5537</w:t>
      </w:r>
      <w:r w:rsidR="00E012F8" w:rsidRPr="008611F6">
        <w:rPr>
          <w:rFonts w:cstheme="minorHAnsi"/>
          <w:u w:val="single"/>
        </w:rPr>
        <w:t>/</w:t>
      </w:r>
      <w:r w:rsidR="00E012F8" w:rsidRPr="008611F6">
        <w:rPr>
          <w:rFonts w:eastAsia="Calibri" w:cstheme="minorHAnsi"/>
          <w:color w:val="000000"/>
          <w:u w:val="single"/>
        </w:rPr>
        <w:t>07-06-2019</w:t>
      </w:r>
      <w:r w:rsidR="00E012F8" w:rsidRPr="002266F4">
        <w:rPr>
          <w:rFonts w:cstheme="minorHAnsi"/>
          <w:color w:val="000000"/>
        </w:rPr>
        <w:t xml:space="preserve"> </w:t>
      </w:r>
      <w:r w:rsidR="00E012F8" w:rsidRPr="002266F4">
        <w:rPr>
          <w:rFonts w:ascii="Calibri" w:eastAsia="Calibri" w:hAnsi="Calibri" w:cs="Calibri"/>
          <w:bCs/>
        </w:rPr>
        <w:t>«Πρόσκληση εκδήλωσης ενδιαφέροντος για την απόσπαση εκπαιδευτικών κλάδου ΠΕ78 – Κοινωνικών Επιστημών, με πτυχίο Τμήματος Νομικής Α.Ε.Ι., στο Γραφείο Νομικής Υποστήριξης της Αυτοτελούς Διεύθυνσης Διοικητικής, Οικονομικής και Παιδαγωγικής Υποστήριξης της Περιφερειακής Διεύθυνσης Πρωτοβάθμιας και Δευτεροβάθμιας Εκπαίδευσης Ηπείρου»</w:t>
      </w:r>
      <w:r w:rsidR="008611F6">
        <w:rPr>
          <w:rFonts w:cstheme="minorHAnsi"/>
          <w:bCs/>
        </w:rPr>
        <w:t>,</w:t>
      </w:r>
      <w:r w:rsidR="00E012F8" w:rsidRPr="002266F4">
        <w:rPr>
          <w:rFonts w:cstheme="minorHAnsi"/>
          <w:bCs/>
        </w:rPr>
        <w:t xml:space="preserve"> όσο και για την </w:t>
      </w:r>
      <w:r w:rsidR="00E012F8" w:rsidRPr="002266F4">
        <w:rPr>
          <w:rFonts w:cstheme="minorHAnsi"/>
        </w:rPr>
        <w:t xml:space="preserve">με αριθ. </w:t>
      </w:r>
      <w:proofErr w:type="spellStart"/>
      <w:r w:rsidR="00E012F8" w:rsidRPr="002266F4">
        <w:rPr>
          <w:rFonts w:cstheme="minorHAnsi"/>
        </w:rPr>
        <w:t>πρωτ</w:t>
      </w:r>
      <w:proofErr w:type="spellEnd"/>
      <w:r w:rsidR="008611F6">
        <w:rPr>
          <w:rFonts w:cstheme="minorHAnsi"/>
        </w:rPr>
        <w:t>.</w:t>
      </w:r>
      <w:r w:rsidR="00E012F8" w:rsidRPr="008611F6">
        <w:rPr>
          <w:rFonts w:eastAsia="Calibri" w:cstheme="minorHAnsi"/>
          <w:b/>
          <w:color w:val="000000"/>
        </w:rPr>
        <w:t xml:space="preserve"> </w:t>
      </w:r>
      <w:r w:rsidR="00E012F8" w:rsidRPr="008611F6">
        <w:rPr>
          <w:rFonts w:eastAsia="Calibri" w:cstheme="minorHAnsi"/>
          <w:color w:val="000000"/>
          <w:u w:val="single"/>
        </w:rPr>
        <w:t>Φ.48/5538</w:t>
      </w:r>
      <w:r w:rsidR="00E012F8" w:rsidRPr="008611F6">
        <w:rPr>
          <w:rFonts w:cstheme="minorHAnsi"/>
          <w:u w:val="single"/>
        </w:rPr>
        <w:t>/</w:t>
      </w:r>
      <w:r w:rsidR="00E012F8" w:rsidRPr="008611F6">
        <w:rPr>
          <w:rFonts w:eastAsia="Calibri" w:cstheme="minorHAnsi"/>
          <w:color w:val="000000"/>
          <w:u w:val="single"/>
        </w:rPr>
        <w:t>07-06-2019</w:t>
      </w:r>
      <w:r w:rsidR="00E012F8" w:rsidRPr="002266F4">
        <w:rPr>
          <w:rFonts w:cstheme="minorHAnsi"/>
          <w:color w:val="000000"/>
        </w:rPr>
        <w:t xml:space="preserve"> </w:t>
      </w:r>
      <w:r w:rsidR="00E012F8" w:rsidRPr="002266F4">
        <w:rPr>
          <w:rFonts w:eastAsia="Calibri" w:cstheme="minorHAnsi"/>
          <w:bCs/>
        </w:rPr>
        <w:t>«Πρόσκληση εκδήλωσης ενδιαφέροντος για την τοποθέτηση, μετακίνηση ή απόσπαση διοικητικών υπαλλήλων</w:t>
      </w:r>
      <w:r w:rsidR="00E012F8" w:rsidRPr="002266F4">
        <w:rPr>
          <w:rFonts w:eastAsia="Calibri" w:cstheme="minorHAnsi"/>
        </w:rPr>
        <w:t xml:space="preserve"> του κλάδου ΠΕ Διοικητικού ή ΠΕ Διοικητικού-Οικονομικού,</w:t>
      </w:r>
      <w:r w:rsidR="00E012F8" w:rsidRPr="002266F4">
        <w:rPr>
          <w:rFonts w:eastAsia="Calibri" w:cstheme="minorHAnsi"/>
          <w:bCs/>
        </w:rPr>
        <w:t xml:space="preserve"> με πτυχίο Τμήματος Νομικής Α.Ε.Ι., στο Γραφείο Νομικής Υποστήριξης της Αυτοτελούς Διεύθυνσης Διοικητικής, Οικονομικής και Παιδαγωγικής Υποστήριξης της Περιφερειακής Διεύθυνσης Πρωτοβάθμιας και Δευτεροβάθμιας Εκπαίδευσης Ηπείρου»</w:t>
      </w:r>
      <w:r w:rsidR="002041D4" w:rsidRPr="002266F4">
        <w:rPr>
          <w:rFonts w:eastAsia="Calibri" w:cstheme="minorHAnsi"/>
          <w:bCs/>
        </w:rPr>
        <w:t>.</w:t>
      </w:r>
    </w:p>
    <w:p w:rsidR="00E012F8" w:rsidRPr="00E012F8" w:rsidRDefault="00E012F8" w:rsidP="00E012F8">
      <w:pPr>
        <w:rPr>
          <w:rFonts w:ascii="Calibri" w:eastAsia="Calibri" w:hAnsi="Calibri" w:cs="Times New Roman"/>
        </w:rPr>
      </w:pPr>
    </w:p>
    <w:p w:rsidR="00EC1B6D" w:rsidRDefault="00EF6B4D" w:rsidP="00EF6B4D">
      <w:pPr>
        <w:ind w:left="5040"/>
        <w:jc w:val="center"/>
      </w:pPr>
      <w:r>
        <w:t>Ο ΠΕΡΙΦΕΡΕΙΑΚΟΣ ΔΙΕΥΘΥΝΤΗΣ  ΕΚΠΑΙΔΕΥΣΗΣ ΗΠΕΙΡΟΥ</w:t>
      </w:r>
    </w:p>
    <w:p w:rsidR="00EF6B4D" w:rsidRDefault="00EF6B4D" w:rsidP="00EF6B4D">
      <w:pPr>
        <w:ind w:left="5040"/>
        <w:jc w:val="center"/>
      </w:pPr>
    </w:p>
    <w:p w:rsidR="00EF6B4D" w:rsidRDefault="00EF6B4D" w:rsidP="00EF6B4D">
      <w:pPr>
        <w:ind w:left="5040"/>
        <w:jc w:val="center"/>
      </w:pPr>
    </w:p>
    <w:p w:rsidR="00EF6B4D" w:rsidRDefault="00EF6B4D" w:rsidP="00EF6B4D">
      <w:pPr>
        <w:ind w:left="5040"/>
        <w:jc w:val="center"/>
      </w:pPr>
      <w:r>
        <w:t>ΚΩΝΣΤΑΝΤΙΝΟΣ ΚΑΜΠΟΥΡΑΚΗΣ</w:t>
      </w:r>
    </w:p>
    <w:sectPr w:rsidR="00EF6B4D" w:rsidSect="00CD4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10CD9"/>
    <w:rsid w:val="00027F27"/>
    <w:rsid w:val="000A6322"/>
    <w:rsid w:val="000B7AB7"/>
    <w:rsid w:val="00113C0A"/>
    <w:rsid w:val="001C54AC"/>
    <w:rsid w:val="001E5F10"/>
    <w:rsid w:val="002041D4"/>
    <w:rsid w:val="002266F4"/>
    <w:rsid w:val="002549B1"/>
    <w:rsid w:val="002E7874"/>
    <w:rsid w:val="00310CD9"/>
    <w:rsid w:val="003B6710"/>
    <w:rsid w:val="003F0B38"/>
    <w:rsid w:val="006549AB"/>
    <w:rsid w:val="006B3B3C"/>
    <w:rsid w:val="006E242A"/>
    <w:rsid w:val="00702983"/>
    <w:rsid w:val="007B1B5E"/>
    <w:rsid w:val="008611F6"/>
    <w:rsid w:val="008A3642"/>
    <w:rsid w:val="008B5ECA"/>
    <w:rsid w:val="008E009A"/>
    <w:rsid w:val="00A9452D"/>
    <w:rsid w:val="00B95533"/>
    <w:rsid w:val="00C25DE8"/>
    <w:rsid w:val="00C5666A"/>
    <w:rsid w:val="00CD4760"/>
    <w:rsid w:val="00D26BFD"/>
    <w:rsid w:val="00E012F8"/>
    <w:rsid w:val="00E57F8A"/>
    <w:rsid w:val="00EC1B6D"/>
    <w:rsid w:val="00EF6B4D"/>
    <w:rsid w:val="00F412C5"/>
    <w:rsid w:val="00FB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4"/>
    <w:rsid w:val="00D26BF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4">
    <w:name w:val="Body Text"/>
    <w:basedOn w:val="a"/>
    <w:link w:val="Char"/>
    <w:uiPriority w:val="99"/>
    <w:semiHidden/>
    <w:unhideWhenUsed/>
    <w:rsid w:val="00D26BFD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D26BFD"/>
  </w:style>
  <w:style w:type="paragraph" w:styleId="a5">
    <w:name w:val="Balloon Text"/>
    <w:basedOn w:val="a"/>
    <w:link w:val="Char0"/>
    <w:uiPriority w:val="99"/>
    <w:semiHidden/>
    <w:unhideWhenUsed/>
    <w:rsid w:val="0011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1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papageorgiou</dc:creator>
  <cp:lastModifiedBy>papageorgiou</cp:lastModifiedBy>
  <cp:revision>30</cp:revision>
  <cp:lastPrinted>2019-07-10T07:21:00Z</cp:lastPrinted>
  <dcterms:created xsi:type="dcterms:W3CDTF">2019-07-10T06:02:00Z</dcterms:created>
  <dcterms:modified xsi:type="dcterms:W3CDTF">2019-07-10T07:39:00Z</dcterms:modified>
</cp:coreProperties>
</file>